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39" w:rsidRDefault="0086743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867439" w:rsidRDefault="00867439">
      <w:pPr>
        <w:spacing w:after="0"/>
        <w:jc w:val="center"/>
        <w:rPr>
          <w:b/>
          <w:sz w:val="24"/>
          <w:szCs w:val="24"/>
        </w:rPr>
      </w:pPr>
    </w:p>
    <w:p w:rsidR="00867439" w:rsidRDefault="00C9527C">
      <w:r>
        <w:rPr>
          <w:b/>
        </w:rPr>
        <w:t>Present: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67439" w:rsidRDefault="00C9527C">
      <w:pPr>
        <w:spacing w:after="0"/>
      </w:pPr>
      <w:r>
        <w:t xml:space="preserve">Dominic Gilroy </w:t>
      </w:r>
      <w:r>
        <w:tab/>
      </w:r>
      <w:r>
        <w:tab/>
      </w:r>
      <w:r>
        <w:tab/>
        <w:t>DG</w:t>
      </w:r>
      <w:r>
        <w:tab/>
      </w:r>
      <w:r>
        <w:tab/>
      </w:r>
      <w:r>
        <w:tab/>
      </w:r>
    </w:p>
    <w:p w:rsidR="00867439" w:rsidRDefault="00C9527C">
      <w:pPr>
        <w:spacing w:after="0"/>
      </w:pPr>
      <w:r>
        <w:t>Rebecca Williams (Chair)</w:t>
      </w:r>
      <w:r>
        <w:tab/>
        <w:t>RW</w:t>
      </w:r>
      <w:r>
        <w:tab/>
      </w:r>
      <w:r>
        <w:tab/>
      </w:r>
      <w:r>
        <w:tab/>
      </w:r>
      <w:r>
        <w:tab/>
      </w:r>
    </w:p>
    <w:p w:rsidR="00867439" w:rsidRDefault="00C9527C">
      <w:pPr>
        <w:spacing w:after="0"/>
      </w:pPr>
      <w:r>
        <w:t>Sarah Gardner</w:t>
      </w:r>
      <w:r>
        <w:tab/>
      </w:r>
      <w:r>
        <w:tab/>
      </w:r>
      <w:r>
        <w:tab/>
        <w:t>SG</w:t>
      </w:r>
      <w:r>
        <w:tab/>
      </w:r>
      <w:r>
        <w:tab/>
      </w:r>
    </w:p>
    <w:p w:rsidR="00867439" w:rsidRDefault="00C9527C">
      <w:pPr>
        <w:spacing w:after="0"/>
      </w:pPr>
      <w:r>
        <w:t>Maria Simoes</w:t>
      </w:r>
      <w:r>
        <w:tab/>
      </w:r>
      <w:r>
        <w:tab/>
      </w:r>
      <w:r>
        <w:tab/>
        <w:t>MS</w:t>
      </w:r>
      <w:r>
        <w:tab/>
      </w:r>
      <w:r>
        <w:tab/>
      </w:r>
    </w:p>
    <w:p w:rsidR="00867439" w:rsidRDefault="00C9527C">
      <w:pPr>
        <w:spacing w:after="0"/>
      </w:pPr>
      <w:r>
        <w:t>Helen Barlow</w:t>
      </w:r>
      <w:r>
        <w:tab/>
      </w:r>
      <w:r>
        <w:tab/>
      </w:r>
      <w:r>
        <w:tab/>
        <w:t>HB</w:t>
      </w:r>
    </w:p>
    <w:p w:rsidR="00867439" w:rsidRDefault="00C9527C">
      <w:pPr>
        <w:spacing w:after="0"/>
      </w:pPr>
      <w:r>
        <w:t>Jennifer Roberts</w:t>
      </w:r>
      <w:r>
        <w:tab/>
      </w:r>
      <w:r>
        <w:tab/>
        <w:t>JR</w:t>
      </w:r>
      <w:r>
        <w:tab/>
      </w:r>
      <w:r>
        <w:tab/>
      </w:r>
    </w:p>
    <w:p w:rsidR="00867439" w:rsidRDefault="00C9527C">
      <w:pPr>
        <w:spacing w:after="0"/>
      </w:pPr>
      <w:r>
        <w:t xml:space="preserve">Natasha </w:t>
      </w:r>
      <w:proofErr w:type="spellStart"/>
      <w:r>
        <w:t>Craigs</w:t>
      </w:r>
      <w:proofErr w:type="spellEnd"/>
      <w:r>
        <w:tab/>
      </w:r>
      <w:r>
        <w:tab/>
      </w:r>
      <w:r>
        <w:tab/>
        <w:t>NC</w:t>
      </w:r>
    </w:p>
    <w:p w:rsidR="00867439" w:rsidRDefault="00C9527C">
      <w:pPr>
        <w:spacing w:after="0"/>
      </w:pPr>
      <w:r>
        <w:t>Helen Curtis</w:t>
      </w:r>
      <w:r>
        <w:tab/>
      </w:r>
      <w:r>
        <w:tab/>
      </w:r>
      <w:r>
        <w:tab/>
        <w:t>HC</w:t>
      </w:r>
    </w:p>
    <w:p w:rsidR="00867439" w:rsidRDefault="00C9527C">
      <w:pPr>
        <w:spacing w:after="0"/>
      </w:pPr>
      <w:r>
        <w:t>Donna Irving (via web link)</w:t>
      </w:r>
      <w:r>
        <w:tab/>
        <w:t>DI</w:t>
      </w:r>
    </w:p>
    <w:p w:rsidR="00867439" w:rsidRDefault="00C9527C">
      <w:pPr>
        <w:spacing w:after="0"/>
      </w:pPr>
      <w:r>
        <w:t>Joel Kerry</w:t>
      </w:r>
      <w:r>
        <w:tab/>
      </w:r>
      <w:r>
        <w:tab/>
      </w:r>
      <w:r>
        <w:tab/>
        <w:t>JK</w:t>
      </w:r>
    </w:p>
    <w:p w:rsidR="00867439" w:rsidRDefault="00C9527C">
      <w:pPr>
        <w:spacing w:after="0"/>
      </w:pPr>
      <w:r>
        <w:t>Sarah Hennessy</w:t>
      </w:r>
      <w:r>
        <w:tab/>
      </w:r>
      <w:r>
        <w:tab/>
      </w:r>
      <w:r>
        <w:tab/>
      </w:r>
      <w:r>
        <w:t>SH</w:t>
      </w:r>
    </w:p>
    <w:p w:rsidR="00867439" w:rsidRDefault="00867439">
      <w:pPr>
        <w:spacing w:after="0"/>
      </w:pPr>
    </w:p>
    <w:p w:rsidR="00867439" w:rsidRDefault="00C9527C">
      <w:pPr>
        <w:spacing w:after="0"/>
      </w:pPr>
      <w:proofErr w:type="spellStart"/>
      <w:r>
        <w:rPr>
          <w:b/>
        </w:rPr>
        <w:t>Apologises</w:t>
      </w:r>
      <w:proofErr w:type="spellEnd"/>
      <w:r>
        <w:t xml:space="preserve">: </w:t>
      </w:r>
    </w:p>
    <w:p w:rsidR="00867439" w:rsidRDefault="00C9527C">
      <w:pPr>
        <w:spacing w:after="0"/>
      </w:pPr>
      <w:r>
        <w:t>Chris Lawton, Paul Twiddy, Jennifer Roberts.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7439" w:rsidRDefault="00867439">
      <w:pPr>
        <w:spacing w:after="0"/>
        <w:ind w:left="5040" w:firstLine="720"/>
      </w:pPr>
    </w:p>
    <w:p w:rsidR="00867439" w:rsidRDefault="00867439">
      <w:pPr>
        <w:spacing w:after="0"/>
      </w:pPr>
    </w:p>
    <w:tbl>
      <w:tblPr>
        <w:tblW w:w="10486" w:type="dxa"/>
        <w:tblInd w:w="-14" w:type="dxa"/>
        <w:tblLook w:val="0000" w:firstRow="0" w:lastRow="0" w:firstColumn="0" w:lastColumn="0" w:noHBand="0" w:noVBand="0"/>
      </w:tblPr>
      <w:tblGrid>
        <w:gridCol w:w="555"/>
        <w:gridCol w:w="8637"/>
        <w:gridCol w:w="1294"/>
      </w:tblGrid>
      <w:tr w:rsidR="008674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:rsidR="00867439" w:rsidRDefault="00C9527C">
            <w:r>
              <w:rPr>
                <w:b/>
              </w:rPr>
              <w:t>No.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:rsidR="00867439" w:rsidRDefault="00C9527C">
            <w:r>
              <w:rPr>
                <w:b/>
              </w:rPr>
              <w:t>Agenda Item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867439" w:rsidRDefault="00C9527C">
            <w:r>
              <w:rPr>
                <w:b/>
              </w:rPr>
              <w:t>Actions</w:t>
            </w:r>
          </w:p>
        </w:tc>
      </w:tr>
      <w:tr w:rsidR="00867439">
        <w:trPr>
          <w:trHeight w:val="7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39" w:rsidRDefault="00C9527C">
            <w:r>
              <w:t>1.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39" w:rsidRDefault="00C9527C">
            <w:pPr>
              <w:spacing w:after="0"/>
            </w:pPr>
            <w:r>
              <w:rPr>
                <w:b/>
              </w:rPr>
              <w:t>Welcome, Introductions and Apologies</w:t>
            </w:r>
          </w:p>
          <w:p w:rsidR="00867439" w:rsidRDefault="00C9527C">
            <w:pPr>
              <w:spacing w:after="0"/>
            </w:pPr>
            <w:r>
              <w:t xml:space="preserve">RW welcomed all to the meeting and apologies were made on behalf of those listed. </w:t>
            </w:r>
          </w:p>
          <w:p w:rsidR="00867439" w:rsidRDefault="00867439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39" w:rsidRDefault="00867439">
            <w:pPr>
              <w:snapToGrid w:val="0"/>
              <w:spacing w:line="240" w:lineRule="auto"/>
              <w:rPr>
                <w:b/>
              </w:rPr>
            </w:pPr>
          </w:p>
          <w:p w:rsidR="00867439" w:rsidRDefault="00867439">
            <w:pPr>
              <w:spacing w:line="240" w:lineRule="auto"/>
              <w:rPr>
                <w:b/>
              </w:rPr>
            </w:pPr>
          </w:p>
        </w:tc>
      </w:tr>
      <w:tr w:rsidR="008674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39" w:rsidRDefault="00C9527C">
            <w:r>
              <w:t>2.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39" w:rsidRDefault="00C9527C">
            <w:pPr>
              <w:pStyle w:val="NoSpacing"/>
            </w:pPr>
            <w:r>
              <w:rPr>
                <w:b/>
                <w:bCs/>
              </w:rPr>
              <w:t>Notes of the Previous Meeting</w:t>
            </w:r>
          </w:p>
          <w:p w:rsidR="00867439" w:rsidRDefault="00C9527C">
            <w:pPr>
              <w:pStyle w:val="NoSpacing"/>
            </w:pPr>
            <w:r>
              <w:rPr>
                <w:bCs/>
              </w:rPr>
              <w:t>The minutes were agreed as an accurate record.</w:t>
            </w:r>
          </w:p>
          <w:p w:rsidR="00867439" w:rsidRDefault="00867439">
            <w:pPr>
              <w:pStyle w:val="NoSpacing"/>
              <w:rPr>
                <w:b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39" w:rsidRDefault="00867439">
            <w:pPr>
              <w:pStyle w:val="NoSpacing"/>
              <w:snapToGrid w:val="0"/>
              <w:rPr>
                <w:b/>
                <w:bCs/>
              </w:rPr>
            </w:pPr>
          </w:p>
        </w:tc>
      </w:tr>
      <w:tr w:rsidR="00867439">
        <w:trPr>
          <w:trHeight w:val="1413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39" w:rsidRDefault="00C9527C">
            <w:r>
              <w:t>3.</w:t>
            </w:r>
          </w:p>
        </w:tc>
        <w:tc>
          <w:tcPr>
            <w:tcW w:w="8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39" w:rsidRDefault="00C9527C">
            <w:pPr>
              <w:spacing w:after="0" w:line="240" w:lineRule="auto"/>
            </w:pPr>
            <w:r>
              <w:rPr>
                <w:rFonts w:cs="Calibri"/>
                <w:b/>
              </w:rPr>
              <w:t>Matters Arising</w:t>
            </w:r>
          </w:p>
          <w:p w:rsidR="00867439" w:rsidRDefault="00C9527C">
            <w:pPr>
              <w:pStyle w:val="ListParagraph"/>
              <w:numPr>
                <w:ilvl w:val="0"/>
                <w:numId w:val="1"/>
              </w:numPr>
            </w:pPr>
            <w:r>
              <w:t>The shadowing survey has been sent out and 8 responses have been received to date.</w:t>
            </w:r>
          </w:p>
          <w:p w:rsidR="00867439" w:rsidRDefault="00C9527C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>
              <w:t xml:space="preserve">Arrangements for the Christmas study day are progressing well with programme sorted and speakers </w:t>
            </w:r>
            <w:r>
              <w:t>confirmed.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39" w:rsidRDefault="00867439">
            <w:pPr>
              <w:pStyle w:val="NoSpacing"/>
              <w:snapToGrid w:val="0"/>
              <w:rPr>
                <w:rFonts w:cs="Calibri"/>
                <w:b/>
              </w:rPr>
            </w:pPr>
          </w:p>
          <w:p w:rsidR="00867439" w:rsidRDefault="00C9527C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RW to email survey link again</w:t>
            </w:r>
          </w:p>
          <w:p w:rsidR="00867439" w:rsidRDefault="00867439">
            <w:pPr>
              <w:pStyle w:val="NoSpacing"/>
              <w:rPr>
                <w:rFonts w:cs="Calibri"/>
                <w:b/>
              </w:rPr>
            </w:pPr>
          </w:p>
          <w:p w:rsidR="00867439" w:rsidRDefault="00867439">
            <w:pPr>
              <w:pStyle w:val="NoSpacing"/>
              <w:rPr>
                <w:b/>
              </w:rPr>
            </w:pPr>
          </w:p>
          <w:p w:rsidR="00867439" w:rsidRDefault="00867439">
            <w:pPr>
              <w:pStyle w:val="NoSpacing"/>
              <w:rPr>
                <w:b/>
              </w:rPr>
            </w:pPr>
          </w:p>
        </w:tc>
      </w:tr>
      <w:tr w:rsidR="00867439">
        <w:trPr>
          <w:trHeight w:val="146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39" w:rsidRDefault="00C9527C">
            <w:r>
              <w:t>3.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39" w:rsidRDefault="00C9527C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Committee Members Update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  <w:p w:rsidR="00867439" w:rsidRDefault="00C9527C">
            <w:pPr>
              <w:pStyle w:val="ListParagraph"/>
              <w:spacing w:after="0" w:line="240" w:lineRule="auto"/>
              <w:ind w:left="0"/>
            </w:pPr>
            <w:r>
              <w:rPr>
                <w:rFonts w:cs="Calibri"/>
                <w:bCs/>
              </w:rPr>
              <w:t>The treasurer’s post is still vacant.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</w:pP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39" w:rsidRDefault="00C9527C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RW to advertise to YOHHLNet members</w:t>
            </w:r>
          </w:p>
        </w:tc>
      </w:tr>
      <w:tr w:rsidR="00867439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39" w:rsidRDefault="00C9527C">
            <w:r>
              <w:t>4.</w:t>
            </w:r>
          </w:p>
        </w:tc>
        <w:tc>
          <w:tcPr>
            <w:tcW w:w="8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39" w:rsidRDefault="00C9527C">
            <w:pPr>
              <w:pStyle w:val="ListParagraph"/>
              <w:spacing w:after="0" w:line="240" w:lineRule="auto"/>
              <w:ind w:left="0"/>
            </w:pPr>
            <w:r>
              <w:rPr>
                <w:rFonts w:cs="Calibri"/>
                <w:b/>
              </w:rPr>
              <w:t>Finance</w:t>
            </w:r>
          </w:p>
          <w:p w:rsidR="00867439" w:rsidRDefault="00C9527C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DG advised the group that funding for LKS would now be organised on a national level and as a result the funding would be shared more equitably amongst the regions. As a result DG said that YOHHLNet would receive £1K in the future instead of the £4K it rec</w:t>
            </w:r>
            <w:r>
              <w:rPr>
                <w:rFonts w:cs="Calibri"/>
              </w:rPr>
              <w:t xml:space="preserve">eives at the moment. 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C9527C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The current balance is approximately £16K.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C9527C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There are still issues with processing of invoices with many 2019/20 renewals still outstanding.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C9527C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There was a debate about the role of the treasurer and the most effective way to organise t</w:t>
            </w:r>
            <w:r>
              <w:rPr>
                <w:rFonts w:cs="Calibri"/>
              </w:rPr>
              <w:t>he accounts in the future especially the issue about where invoices should be addressed to: home address, PO Box or works address. RW would check with her own finance leads and Lloyds bank to seek advice prior to new treasurer appointment.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C9527C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There was also </w:t>
            </w:r>
            <w:r>
              <w:rPr>
                <w:rFonts w:cs="Calibri"/>
              </w:rPr>
              <w:t xml:space="preserve">a discussion about 3 year membership versus annual renewals. It was decided that the best way forward would be to continue with the present annual </w:t>
            </w:r>
            <w:proofErr w:type="gramStart"/>
            <w:r>
              <w:rPr>
                <w:rFonts w:cs="Calibri"/>
              </w:rPr>
              <w:t>renewal  arrangement</w:t>
            </w:r>
            <w:proofErr w:type="gramEnd"/>
            <w:r>
              <w:rPr>
                <w:rFonts w:cs="Calibri"/>
              </w:rPr>
              <w:t xml:space="preserve"> and any members who explicitly requested other arrangements should be dealt with on a ca</w:t>
            </w:r>
            <w:r>
              <w:rPr>
                <w:rFonts w:cs="Calibri"/>
              </w:rPr>
              <w:t>se by case basis.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C9527C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RW expressed concern about the issue of attracting new members and retaining existing members. It was decided that a good way of doing this was focusing on the bursaries awarded and target services which haven’t taken advantage of this b</w:t>
            </w:r>
            <w:r>
              <w:rPr>
                <w:rFonts w:cs="Calibri"/>
              </w:rPr>
              <w:t>enefit to date.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867439">
            <w:pPr>
              <w:pStyle w:val="ListParagraph"/>
              <w:spacing w:after="0" w:line="240" w:lineRule="auto"/>
              <w:ind w:left="0"/>
            </w:pP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39" w:rsidRDefault="00867439">
            <w:pPr>
              <w:snapToGrid w:val="0"/>
              <w:rPr>
                <w:rFonts w:cs="Calibri"/>
                <w:b/>
              </w:rPr>
            </w:pPr>
          </w:p>
          <w:p w:rsidR="00867439" w:rsidRDefault="00867439">
            <w:pPr>
              <w:snapToGrid w:val="0"/>
              <w:rPr>
                <w:rFonts w:cs="Calibri"/>
                <w:b/>
              </w:rPr>
            </w:pPr>
          </w:p>
          <w:p w:rsidR="00867439" w:rsidRDefault="00867439">
            <w:pPr>
              <w:snapToGrid w:val="0"/>
              <w:rPr>
                <w:rFonts w:cs="Calibri"/>
                <w:b/>
              </w:rPr>
            </w:pPr>
          </w:p>
          <w:p w:rsidR="00867439" w:rsidRDefault="00867439">
            <w:pPr>
              <w:snapToGrid w:val="0"/>
              <w:rPr>
                <w:rFonts w:cs="Calibri"/>
                <w:b/>
              </w:rPr>
            </w:pPr>
          </w:p>
          <w:p w:rsidR="00867439" w:rsidRDefault="00867439">
            <w:pPr>
              <w:snapToGrid w:val="0"/>
              <w:rPr>
                <w:rFonts w:cs="Calibri"/>
                <w:b/>
              </w:rPr>
            </w:pPr>
          </w:p>
          <w:p w:rsidR="00867439" w:rsidRDefault="00C9527C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RW </w:t>
            </w:r>
          </w:p>
          <w:p w:rsidR="00867439" w:rsidRDefault="00867439">
            <w:pPr>
              <w:snapToGrid w:val="0"/>
              <w:rPr>
                <w:rFonts w:cs="Calibri"/>
                <w:b/>
              </w:rPr>
            </w:pPr>
          </w:p>
          <w:p w:rsidR="00867439" w:rsidRDefault="00867439">
            <w:pPr>
              <w:snapToGrid w:val="0"/>
              <w:rPr>
                <w:rFonts w:cs="Calibri"/>
                <w:b/>
              </w:rPr>
            </w:pPr>
          </w:p>
          <w:p w:rsidR="00867439" w:rsidRDefault="00867439">
            <w:pPr>
              <w:snapToGrid w:val="0"/>
              <w:rPr>
                <w:rFonts w:cs="Calibri"/>
                <w:b/>
              </w:rPr>
            </w:pPr>
          </w:p>
          <w:p w:rsidR="00867439" w:rsidRDefault="00867439">
            <w:pPr>
              <w:snapToGrid w:val="0"/>
              <w:rPr>
                <w:rFonts w:cs="Calibri"/>
                <w:b/>
              </w:rPr>
            </w:pPr>
          </w:p>
          <w:p w:rsidR="00867439" w:rsidRDefault="00867439">
            <w:pPr>
              <w:snapToGrid w:val="0"/>
              <w:rPr>
                <w:rFonts w:cs="Calibri"/>
                <w:b/>
              </w:rPr>
            </w:pPr>
          </w:p>
          <w:p w:rsidR="00867439" w:rsidRDefault="00C9527C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HC </w:t>
            </w:r>
          </w:p>
        </w:tc>
      </w:tr>
      <w:tr w:rsidR="00867439">
        <w:trPr>
          <w:trHeight w:val="231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39" w:rsidRDefault="00C9527C">
            <w:r>
              <w:lastRenderedPageBreak/>
              <w:t>5</w:t>
            </w:r>
          </w:p>
          <w:p w:rsidR="00867439" w:rsidRDefault="00867439"/>
          <w:p w:rsidR="00867439" w:rsidRDefault="00867439"/>
          <w:p w:rsidR="00867439" w:rsidRDefault="00867439"/>
          <w:p w:rsidR="00867439" w:rsidRDefault="00867439"/>
          <w:p w:rsidR="00867439" w:rsidRDefault="00867439"/>
          <w:p w:rsidR="00867439" w:rsidRDefault="00867439"/>
          <w:p w:rsidR="00867439" w:rsidRDefault="00867439"/>
          <w:p w:rsidR="00867439" w:rsidRDefault="00867439"/>
          <w:p w:rsidR="00867439" w:rsidRDefault="00867439"/>
          <w:p w:rsidR="00867439" w:rsidRDefault="00867439"/>
          <w:p w:rsidR="00867439" w:rsidRDefault="00867439"/>
          <w:p w:rsidR="00867439" w:rsidRDefault="00867439"/>
          <w:p w:rsidR="00867439" w:rsidRDefault="00867439"/>
          <w:p w:rsidR="00867439" w:rsidRDefault="00C9527C">
            <w:r>
              <w:lastRenderedPageBreak/>
              <w:t>6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39" w:rsidRDefault="00C9527C">
            <w:pPr>
              <w:pStyle w:val="ListParagraph"/>
              <w:spacing w:after="0" w:line="240" w:lineRule="auto"/>
              <w:ind w:left="0"/>
            </w:pPr>
            <w:r>
              <w:rPr>
                <w:rFonts w:cs="Calibri"/>
                <w:b/>
              </w:rPr>
              <w:lastRenderedPageBreak/>
              <w:t>CPD Update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  <w:p w:rsidR="00867439" w:rsidRDefault="00C9527C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KF said that the bursary application call out had gone out to members for HLG 2020. It was also suggested that an article in Northern Lights would be a good way to raise awareness of the</w:t>
            </w:r>
            <w:r>
              <w:rPr>
                <w:rFonts w:cs="Calibri"/>
              </w:rPr>
              <w:t xml:space="preserve"> availability of bursaries from our network.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C9527C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The planning for the KM study day lead by Victoria </w:t>
            </w:r>
            <w:proofErr w:type="spellStart"/>
            <w:r>
              <w:rPr>
                <w:rFonts w:cs="Calibri"/>
              </w:rPr>
              <w:t>Treadway</w:t>
            </w:r>
            <w:proofErr w:type="spellEnd"/>
            <w:r>
              <w:rPr>
                <w:rFonts w:cs="Calibri"/>
              </w:rPr>
              <w:t xml:space="preserve"> is well underway.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C9527C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The Literature Skills Study Day lead by JK is due to take place on the 29/11/2019 and can facilitate 25 participants. The programme</w:t>
            </w:r>
            <w:r>
              <w:rPr>
                <w:rFonts w:cs="Calibri"/>
              </w:rPr>
              <w:t xml:space="preserve"> is broad in scope and should appeal to colleagues working in the acute, mental or public health sector. DI kindly offered her assistance to JK to help facilitate the session.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C9527C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SG also reminded us of the STEP training freely available online in regards to </w:t>
            </w:r>
            <w:r>
              <w:rPr>
                <w:rFonts w:cs="Calibri"/>
              </w:rPr>
              <w:t>literature searching skills.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C9527C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There is also a HLG visit to BL facilitated by Helen Swales coming up in the near future.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C9527C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The National Training Needs Analysis survey has been circulated to all LKS staff this month.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C9527C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In regards to CPD needs HC mentioned the </w:t>
            </w:r>
            <w:r>
              <w:rPr>
                <w:rFonts w:cs="Calibri"/>
              </w:rPr>
              <w:t>possibility of more information in regards to the new Outcome Framework. DR said that this would be discussed in more detail at the Northern Managers meeting.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C9527C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DI offered to facilitate some training around teaching skills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C9527C">
            <w:pPr>
              <w:pStyle w:val="ListParagraph"/>
              <w:spacing w:after="0" w:line="240" w:lineRule="auto"/>
              <w:ind w:left="0"/>
            </w:pPr>
            <w:r>
              <w:rPr>
                <w:rFonts w:cs="Calibri"/>
              </w:rPr>
              <w:lastRenderedPageBreak/>
              <w:t xml:space="preserve"> </w:t>
            </w:r>
          </w:p>
          <w:p w:rsidR="00867439" w:rsidRDefault="00C9527C">
            <w:pPr>
              <w:pStyle w:val="ListParagraph"/>
              <w:spacing w:after="0" w:line="240" w:lineRule="auto"/>
              <w:ind w:left="0"/>
            </w:pPr>
            <w:r>
              <w:rPr>
                <w:rFonts w:cs="Calibri"/>
                <w:b/>
              </w:rPr>
              <w:t>Website Update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  <w:p w:rsidR="00867439" w:rsidRDefault="00C9527C">
            <w:r>
              <w:t>The YOHHLNet se</w:t>
            </w:r>
            <w:r>
              <w:t xml:space="preserve">ction of Northern LKS website </w:t>
            </w:r>
            <w:r>
              <w:rPr>
                <w:rStyle w:val="InternetLink"/>
                <w:rFonts w:cs="Calibri"/>
              </w:rPr>
              <w:t>ww.lksnorth.nhs.uk</w:t>
            </w:r>
            <w:r>
              <w:rPr>
                <w:rFonts w:cs="Calibri"/>
              </w:rPr>
              <w:t xml:space="preserve"> </w:t>
            </w:r>
            <w:r>
              <w:t>is now live and is working well thanks to JK.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39" w:rsidRDefault="00867439">
            <w:pPr>
              <w:snapToGrid w:val="0"/>
              <w:rPr>
                <w:rFonts w:cs="Calibri"/>
                <w:b/>
              </w:rPr>
            </w:pPr>
          </w:p>
          <w:p w:rsidR="00867439" w:rsidRDefault="00867439">
            <w:pPr>
              <w:rPr>
                <w:rFonts w:cs="Calibri"/>
                <w:b/>
              </w:rPr>
            </w:pPr>
          </w:p>
          <w:p w:rsidR="00867439" w:rsidRDefault="00C9527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JK</w:t>
            </w:r>
          </w:p>
          <w:p w:rsidR="00867439" w:rsidRDefault="00867439">
            <w:pPr>
              <w:rPr>
                <w:rFonts w:cs="Calibri"/>
                <w:b/>
              </w:rPr>
            </w:pPr>
          </w:p>
          <w:p w:rsidR="00867439" w:rsidRDefault="00867439">
            <w:pPr>
              <w:rPr>
                <w:b/>
              </w:rPr>
            </w:pPr>
          </w:p>
          <w:p w:rsidR="00867439" w:rsidRDefault="00867439">
            <w:pPr>
              <w:rPr>
                <w:b/>
              </w:rPr>
            </w:pPr>
          </w:p>
          <w:p w:rsidR="00867439" w:rsidRDefault="00867439">
            <w:pPr>
              <w:rPr>
                <w:b/>
              </w:rPr>
            </w:pPr>
          </w:p>
          <w:p w:rsidR="00867439" w:rsidRDefault="00867439">
            <w:pPr>
              <w:rPr>
                <w:b/>
              </w:rPr>
            </w:pPr>
          </w:p>
          <w:p w:rsidR="00867439" w:rsidRDefault="00867439">
            <w:pPr>
              <w:rPr>
                <w:b/>
              </w:rPr>
            </w:pPr>
          </w:p>
          <w:p w:rsidR="00867439" w:rsidRDefault="00867439"/>
          <w:p w:rsidR="00867439" w:rsidRDefault="00867439">
            <w:pPr>
              <w:rPr>
                <w:b/>
                <w:bCs/>
              </w:rPr>
            </w:pPr>
          </w:p>
          <w:p w:rsidR="00867439" w:rsidRDefault="00867439">
            <w:pPr>
              <w:rPr>
                <w:b/>
              </w:rPr>
            </w:pPr>
          </w:p>
          <w:p w:rsidR="00867439" w:rsidRDefault="00C9527C">
            <w:pPr>
              <w:rPr>
                <w:b/>
              </w:rPr>
            </w:pPr>
            <w:r>
              <w:rPr>
                <w:b/>
              </w:rPr>
              <w:t xml:space="preserve">DI </w:t>
            </w:r>
          </w:p>
        </w:tc>
      </w:tr>
      <w:tr w:rsidR="00867439">
        <w:trPr>
          <w:trHeight w:val="27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39" w:rsidRDefault="00C9527C">
            <w:r>
              <w:lastRenderedPageBreak/>
              <w:t>7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39" w:rsidRDefault="00C9527C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Christmas Study Day and Awards</w:t>
            </w:r>
          </w:p>
          <w:p w:rsidR="00867439" w:rsidRDefault="00867439">
            <w:pPr>
              <w:spacing w:after="0" w:line="240" w:lineRule="auto"/>
              <w:rPr>
                <w:lang w:val="en-GB"/>
              </w:rPr>
            </w:pPr>
          </w:p>
          <w:p w:rsidR="00867439" w:rsidRDefault="00C9527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RW reported that she was slightly concerned at the low number of bookings to date for the Christmas Study </w:t>
            </w:r>
            <w:r>
              <w:rPr>
                <w:lang w:val="en-GB"/>
              </w:rPr>
              <w:t>Day. Similarly there has been a disappointingly low number of award nominations and moments of magic expressions of interest. RW will email members again at the end of October to try and create some more interest.</w:t>
            </w:r>
          </w:p>
          <w:p w:rsidR="00867439" w:rsidRDefault="00867439">
            <w:pPr>
              <w:spacing w:after="0" w:line="240" w:lineRule="auto"/>
              <w:rPr>
                <w:lang w:val="en-GB"/>
              </w:rPr>
            </w:pPr>
          </w:p>
          <w:p w:rsidR="00867439" w:rsidRDefault="00C9527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There was a general discussion about them</w:t>
            </w:r>
            <w:r>
              <w:rPr>
                <w:lang w:val="en-GB"/>
              </w:rPr>
              <w:t>es for that day and topics for the Knowledge Café.</w:t>
            </w:r>
          </w:p>
          <w:p w:rsidR="00867439" w:rsidRDefault="00867439">
            <w:pPr>
              <w:spacing w:after="0" w:line="240" w:lineRule="auto"/>
              <w:rPr>
                <w:lang w:val="en-GB"/>
              </w:rPr>
            </w:pPr>
          </w:p>
          <w:p w:rsidR="00867439" w:rsidRDefault="00C9527C">
            <w:pPr>
              <w:spacing w:after="0" w:line="240" w:lineRule="auto"/>
            </w:pPr>
            <w:r>
              <w:rPr>
                <w:lang w:val="en-GB"/>
              </w:rPr>
              <w:t>The next planning date for the Christmas Study Day is 25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October.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39" w:rsidRDefault="00867439">
            <w:pPr>
              <w:snapToGrid w:val="0"/>
              <w:rPr>
                <w:rFonts w:cs="Calibri"/>
                <w:b/>
              </w:rPr>
            </w:pPr>
          </w:p>
          <w:p w:rsidR="00867439" w:rsidRDefault="00C9527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RW</w:t>
            </w:r>
          </w:p>
        </w:tc>
      </w:tr>
      <w:tr w:rsidR="00867439">
        <w:trPr>
          <w:trHeight w:val="9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39" w:rsidRDefault="00C9527C">
            <w:r>
              <w:t>8.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439" w:rsidRDefault="00C9527C">
            <w:pPr>
              <w:pStyle w:val="ListParagraph"/>
              <w:spacing w:after="0" w:line="240" w:lineRule="auto"/>
              <w:ind w:left="0"/>
            </w:pPr>
            <w:r>
              <w:rPr>
                <w:rFonts w:cs="Calibri"/>
                <w:b/>
              </w:rPr>
              <w:t>A.O.B.</w:t>
            </w:r>
          </w:p>
          <w:p w:rsidR="00867439" w:rsidRDefault="00C9527C">
            <w:pPr>
              <w:pStyle w:val="ListParagraph"/>
              <w:spacing w:after="0" w:line="240" w:lineRule="auto"/>
              <w:ind w:left="0"/>
            </w:pPr>
            <w:r>
              <w:rPr>
                <w:rFonts w:cs="Calibri"/>
              </w:rPr>
              <w:t>None raised</w:t>
            </w:r>
          </w:p>
          <w:p w:rsidR="00867439" w:rsidRDefault="0086743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67439" w:rsidRDefault="00867439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p w:rsidR="00867439" w:rsidRDefault="00867439">
            <w:pPr>
              <w:pStyle w:val="ListParagraph"/>
              <w:spacing w:after="0" w:line="240" w:lineRule="auto"/>
              <w:rPr>
                <w:rFonts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39" w:rsidRDefault="00867439">
            <w:pPr>
              <w:snapToGrid w:val="0"/>
              <w:rPr>
                <w:rFonts w:cs="Calibri"/>
                <w:b/>
              </w:rPr>
            </w:pPr>
          </w:p>
          <w:p w:rsidR="00867439" w:rsidRDefault="00867439"/>
        </w:tc>
      </w:tr>
      <w:tr w:rsidR="008674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:rsidR="00867439" w:rsidRDefault="00C9527C">
            <w:r>
              <w:t>9.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:rsidR="00867439" w:rsidRDefault="00C9527C">
            <w:pPr>
              <w:spacing w:after="0"/>
            </w:pPr>
            <w:r>
              <w:rPr>
                <w:b/>
                <w:color w:val="000000"/>
              </w:rPr>
              <w:t>Date of next meeting</w:t>
            </w:r>
          </w:p>
          <w:p w:rsidR="00867439" w:rsidRDefault="00C9527C">
            <w:pPr>
              <w:spacing w:after="0"/>
            </w:pPr>
            <w:r>
              <w:rPr>
                <w:rFonts w:cs="Calibri"/>
                <w:b/>
              </w:rPr>
              <w:t>19</w:t>
            </w:r>
            <w:r>
              <w:rPr>
                <w:rFonts w:cs="Calibri"/>
                <w:b/>
                <w:vertAlign w:val="superscript"/>
              </w:rPr>
              <w:t>th</w:t>
            </w:r>
            <w:r>
              <w:rPr>
                <w:rFonts w:cs="Calibri"/>
                <w:b/>
              </w:rPr>
              <w:t xml:space="preserve"> November 2019 10.00-12.00 – Willow Terrace Road, Leeds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867439" w:rsidRDefault="00867439">
            <w:pPr>
              <w:pStyle w:val="NoSpacing"/>
              <w:snapToGrid w:val="0"/>
              <w:rPr>
                <w:b/>
                <w:color w:val="000000"/>
              </w:rPr>
            </w:pPr>
          </w:p>
        </w:tc>
      </w:tr>
    </w:tbl>
    <w:p w:rsidR="00867439" w:rsidRDefault="00867439"/>
    <w:sectPr w:rsidR="00867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3" w:h="16838"/>
      <w:pgMar w:top="1382" w:right="240" w:bottom="1202" w:left="660" w:header="316" w:footer="1003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527C">
      <w:pPr>
        <w:spacing w:after="0" w:line="240" w:lineRule="auto"/>
      </w:pPr>
      <w:r>
        <w:separator/>
      </w:r>
    </w:p>
  </w:endnote>
  <w:endnote w:type="continuationSeparator" w:id="0">
    <w:p w:rsidR="00000000" w:rsidRDefault="00C9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39" w:rsidRDefault="00C9527C">
    <w:pPr>
      <w:pStyle w:val="Footer"/>
    </w:pPr>
    <w:r>
      <w:rPr>
        <w:sz w:val="20"/>
        <w:szCs w:val="20"/>
      </w:rPr>
      <w:t>Helen Curtis</w:t>
    </w:r>
    <w:r>
      <w:rPr>
        <w:sz w:val="20"/>
        <w:szCs w:val="20"/>
      </w:rPr>
      <w:tab/>
    </w:r>
    <w:r>
      <w:t xml:space="preserve">Page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>
      <w:rPr>
        <w:bCs/>
        <w:noProof/>
      </w:rPr>
      <w:t>2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>
      <w:rPr>
        <w:bCs/>
        <w:noProof/>
      </w:rPr>
      <w:t>2</w:t>
    </w:r>
    <w:r>
      <w:rPr>
        <w:bCs/>
      </w:rPr>
      <w:fldChar w:fldCharType="end"/>
    </w:r>
  </w:p>
  <w:p w:rsidR="00867439" w:rsidRDefault="00867439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39" w:rsidRDefault="00C9527C">
    <w:pPr>
      <w:pStyle w:val="Footer"/>
    </w:pPr>
    <w:r>
      <w:rPr>
        <w:sz w:val="20"/>
        <w:szCs w:val="20"/>
      </w:rPr>
      <w:t>Helen Curtis</w:t>
    </w:r>
    <w:r>
      <w:rPr>
        <w:sz w:val="20"/>
        <w:szCs w:val="20"/>
      </w:rPr>
      <w:tab/>
    </w:r>
    <w:r>
      <w:t xml:space="preserve">Page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>
      <w:rPr>
        <w:bCs/>
        <w:noProof/>
      </w:rPr>
      <w:t>3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>
      <w:rPr>
        <w:bCs/>
        <w:noProof/>
      </w:rPr>
      <w:t>3</w:t>
    </w:r>
    <w:r>
      <w:rPr>
        <w:bCs/>
      </w:rPr>
      <w:fldChar w:fldCharType="end"/>
    </w:r>
  </w:p>
  <w:p w:rsidR="00867439" w:rsidRDefault="00867439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39" w:rsidRDefault="00C9527C">
    <w:pPr>
      <w:pStyle w:val="Footer"/>
    </w:pPr>
    <w:r>
      <w:rPr>
        <w:sz w:val="20"/>
        <w:szCs w:val="20"/>
      </w:rPr>
      <w:t>Helen Curtis</w:t>
    </w:r>
    <w:r>
      <w:rPr>
        <w:sz w:val="20"/>
        <w:szCs w:val="20"/>
      </w:rPr>
      <w:tab/>
    </w:r>
    <w:r>
      <w:t xml:space="preserve">Page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>
      <w:rPr>
        <w:bCs/>
        <w:noProof/>
      </w:rPr>
      <w:t>1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>
      <w:rPr>
        <w:bCs/>
        <w:noProof/>
      </w:rPr>
      <w:t>1</w:t>
    </w:r>
    <w:r>
      <w:rPr>
        <w:bCs/>
      </w:rPr>
      <w:fldChar w:fldCharType="end"/>
    </w:r>
  </w:p>
  <w:p w:rsidR="00867439" w:rsidRDefault="0086743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527C">
      <w:pPr>
        <w:spacing w:after="0" w:line="240" w:lineRule="auto"/>
      </w:pPr>
      <w:r>
        <w:separator/>
      </w:r>
    </w:p>
  </w:footnote>
  <w:footnote w:type="continuationSeparator" w:id="0">
    <w:p w:rsidR="00000000" w:rsidRDefault="00C9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39" w:rsidRDefault="00867439">
    <w:pPr>
      <w:spacing w:after="0" w:line="200" w:lineRule="exact"/>
      <w:rPr>
        <w:sz w:val="20"/>
        <w:szCs w:val="20"/>
      </w:rPr>
    </w:pPr>
  </w:p>
  <w:p w:rsidR="00867439" w:rsidRDefault="00867439">
    <w:pPr>
      <w:spacing w:after="0" w:line="200" w:lineRule="exact"/>
      <w:rPr>
        <w:sz w:val="20"/>
        <w:szCs w:val="20"/>
      </w:rPr>
    </w:pPr>
  </w:p>
  <w:p w:rsidR="00867439" w:rsidRDefault="00867439">
    <w:pPr>
      <w:spacing w:after="0"/>
      <w:jc w:val="center"/>
      <w:rPr>
        <w:b/>
        <w:sz w:val="24"/>
        <w:szCs w:val="24"/>
      </w:rPr>
    </w:pPr>
  </w:p>
  <w:p w:rsidR="00867439" w:rsidRDefault="00867439">
    <w:pPr>
      <w:pStyle w:val="ListParagraph"/>
      <w:spacing w:after="0" w:line="240" w:lineRule="auto"/>
      <w:ind w:left="0"/>
      <w:rPr>
        <w:b/>
        <w:sz w:val="20"/>
        <w:szCs w:val="20"/>
        <w:lang w:eastAsia="ja-JP"/>
      </w:rPr>
    </w:pPr>
  </w:p>
  <w:p w:rsidR="00867439" w:rsidRDefault="00867439">
    <w:pPr>
      <w:spacing w:after="0" w:line="200" w:lineRule="exact"/>
      <w:rPr>
        <w:sz w:val="20"/>
        <w:szCs w:val="20"/>
        <w:lang w:val="en-GB"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39" w:rsidRDefault="00867439">
    <w:pPr>
      <w:spacing w:after="0" w:line="200" w:lineRule="exact"/>
      <w:rPr>
        <w:sz w:val="20"/>
        <w:szCs w:val="20"/>
      </w:rPr>
    </w:pPr>
  </w:p>
  <w:p w:rsidR="00867439" w:rsidRDefault="00867439">
    <w:pPr>
      <w:spacing w:after="0" w:line="200" w:lineRule="exact"/>
      <w:rPr>
        <w:sz w:val="20"/>
        <w:szCs w:val="20"/>
      </w:rPr>
    </w:pPr>
  </w:p>
  <w:p w:rsidR="00867439" w:rsidRDefault="00867439">
    <w:pPr>
      <w:spacing w:after="0"/>
      <w:jc w:val="center"/>
      <w:rPr>
        <w:b/>
        <w:sz w:val="24"/>
        <w:szCs w:val="24"/>
      </w:rPr>
    </w:pPr>
  </w:p>
  <w:p w:rsidR="00867439" w:rsidRDefault="00867439">
    <w:pPr>
      <w:pStyle w:val="ListParagraph"/>
      <w:spacing w:after="0" w:line="240" w:lineRule="auto"/>
      <w:ind w:left="0"/>
      <w:rPr>
        <w:b/>
        <w:sz w:val="20"/>
        <w:szCs w:val="20"/>
        <w:lang w:eastAsia="ja-JP"/>
      </w:rPr>
    </w:pPr>
  </w:p>
  <w:p w:rsidR="00867439" w:rsidRDefault="00867439">
    <w:pPr>
      <w:spacing w:after="0" w:line="200" w:lineRule="exact"/>
      <w:rPr>
        <w:sz w:val="20"/>
        <w:szCs w:val="20"/>
        <w:lang w:val="en-GB"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39" w:rsidRDefault="00867439">
    <w:pPr>
      <w:spacing w:after="0" w:line="200" w:lineRule="exact"/>
      <w:rPr>
        <w:sz w:val="20"/>
        <w:szCs w:val="20"/>
      </w:rPr>
    </w:pPr>
  </w:p>
  <w:p w:rsidR="00867439" w:rsidRDefault="00867439">
    <w:pPr>
      <w:spacing w:after="0" w:line="200" w:lineRule="exact"/>
      <w:rPr>
        <w:sz w:val="20"/>
        <w:szCs w:val="20"/>
      </w:rPr>
    </w:pPr>
  </w:p>
  <w:p w:rsidR="00867439" w:rsidRDefault="00C9527C">
    <w:pPr>
      <w:spacing w:after="0"/>
      <w:jc w:val="center"/>
    </w:pPr>
    <w:r>
      <w:rPr>
        <w:b/>
        <w:sz w:val="24"/>
        <w:szCs w:val="24"/>
      </w:rPr>
      <w:t>Yorkshire and the Humber Health Libraries &amp; Knowledge (YOHHLNET)</w:t>
    </w:r>
  </w:p>
  <w:p w:rsidR="00867439" w:rsidRDefault="00C9527C">
    <w:pPr>
      <w:spacing w:after="0"/>
      <w:jc w:val="center"/>
    </w:pPr>
    <w:r>
      <w:rPr>
        <w:b/>
        <w:sz w:val="24"/>
        <w:szCs w:val="24"/>
      </w:rPr>
      <w:t>Notes of the Network Committee Meeting</w:t>
    </w:r>
  </w:p>
  <w:p w:rsidR="00867439" w:rsidRDefault="00C9527C">
    <w:pPr>
      <w:spacing w:after="0" w:line="240" w:lineRule="auto"/>
      <w:jc w:val="center"/>
    </w:pPr>
    <w:r>
      <w:rPr>
        <w:b/>
        <w:sz w:val="24"/>
        <w:szCs w:val="24"/>
        <w:lang w:val="en-GB" w:eastAsia="ja-JP"/>
      </w:rPr>
      <w:t>Date: Wednesday 20/09/2019</w:t>
    </w:r>
  </w:p>
  <w:p w:rsidR="00867439" w:rsidRDefault="00867439">
    <w:pPr>
      <w:spacing w:after="0" w:line="200" w:lineRule="exact"/>
      <w:rPr>
        <w:sz w:val="20"/>
        <w:szCs w:val="20"/>
        <w:lang w:val="en-GB"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808"/>
    <w:multiLevelType w:val="multilevel"/>
    <w:tmpl w:val="31D29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774C01"/>
    <w:multiLevelType w:val="multilevel"/>
    <w:tmpl w:val="1DD619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9"/>
    <w:rsid w:val="00867439"/>
    <w:rsid w:val="00C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DefaultParagraphFont1">
    <w:name w:val="Default Paragraph Font1"/>
    <w:qFormat/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1">
    <w:name w:val="A1"/>
    <w:qFormat/>
    <w:rPr>
      <w:color w:val="000000"/>
      <w:sz w:val="22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US"/>
    </w:rPr>
  </w:style>
  <w:style w:type="character" w:customStyle="1" w:styleId="CommentSubjectChar">
    <w:name w:val="Comment Subject Char"/>
    <w:qFormat/>
    <w:rPr>
      <w:b/>
      <w:bCs/>
      <w:lang w:val="en-US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FollowedHyperlink1">
    <w:name w:val="FollowedHyperlink1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1">
    <w:name w:val="Strong1"/>
    <w:qFormat/>
    <w:rPr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pPr>
      <w:widowControl/>
      <w:ind w:left="720"/>
      <w:contextualSpacing/>
    </w:pPr>
    <w:rPr>
      <w:lang w:val="en-GB"/>
    </w:rPr>
  </w:style>
  <w:style w:type="paragraph" w:styleId="NoSpacing">
    <w:name w:val="No Spacing"/>
    <w:qFormat/>
    <w:pPr>
      <w:widowControl w:val="0"/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qFormat/>
    <w:pPr>
      <w:widowControl/>
      <w:spacing w:after="0" w:line="240" w:lineRule="auto"/>
    </w:pPr>
    <w:rPr>
      <w:rFonts w:ascii="Times New Roman" w:eastAsia="Calibri" w:hAnsi="Times New Roman"/>
      <w:sz w:val="24"/>
      <w:szCs w:val="24"/>
      <w:lang w:val="en-GB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styleId="CommentSubject">
    <w:name w:val="annotation subject"/>
    <w:basedOn w:val="CommentText1"/>
    <w:next w:val="CommentText1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 w:cs="Courier New"/>
      <w:sz w:val="20"/>
    </w:rPr>
  </w:style>
  <w:style w:type="paragraph" w:styleId="z-BottomofForm">
    <w:name w:val="HTML 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z-TopofForm">
    <w:name w:val="HTML 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DefaultParagraphFont1">
    <w:name w:val="Default Paragraph Font1"/>
    <w:qFormat/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1">
    <w:name w:val="A1"/>
    <w:qFormat/>
    <w:rPr>
      <w:color w:val="000000"/>
      <w:sz w:val="22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US"/>
    </w:rPr>
  </w:style>
  <w:style w:type="character" w:customStyle="1" w:styleId="CommentSubjectChar">
    <w:name w:val="Comment Subject Char"/>
    <w:qFormat/>
    <w:rPr>
      <w:b/>
      <w:bCs/>
      <w:lang w:val="en-US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FollowedHyperlink1">
    <w:name w:val="FollowedHyperlink1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1">
    <w:name w:val="Strong1"/>
    <w:qFormat/>
    <w:rPr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pPr>
      <w:widowControl/>
      <w:ind w:left="720"/>
      <w:contextualSpacing/>
    </w:pPr>
    <w:rPr>
      <w:lang w:val="en-GB"/>
    </w:rPr>
  </w:style>
  <w:style w:type="paragraph" w:styleId="NoSpacing">
    <w:name w:val="No Spacing"/>
    <w:qFormat/>
    <w:pPr>
      <w:widowControl w:val="0"/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qFormat/>
    <w:pPr>
      <w:widowControl/>
      <w:spacing w:after="0" w:line="240" w:lineRule="auto"/>
    </w:pPr>
    <w:rPr>
      <w:rFonts w:ascii="Times New Roman" w:eastAsia="Calibri" w:hAnsi="Times New Roman"/>
      <w:sz w:val="24"/>
      <w:szCs w:val="24"/>
      <w:lang w:val="en-GB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styleId="CommentSubject">
    <w:name w:val="annotation subject"/>
    <w:basedOn w:val="CommentText1"/>
    <w:next w:val="CommentText1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 w:cs="Courier New"/>
      <w:sz w:val="20"/>
    </w:rPr>
  </w:style>
  <w:style w:type="paragraph" w:styleId="z-BottomofForm">
    <w:name w:val="HTML 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z-TopofForm">
    <w:name w:val="HTML 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Gilroy Dominic</dc:creator>
  <cp:lastModifiedBy>Joel Kerry</cp:lastModifiedBy>
  <cp:revision>2</cp:revision>
  <cp:lastPrinted>1995-11-22T01:41:00Z</cp:lastPrinted>
  <dcterms:created xsi:type="dcterms:W3CDTF">2019-12-18T14:54:00Z</dcterms:created>
  <dcterms:modified xsi:type="dcterms:W3CDTF">2019-12-18T14:54:00Z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Calderdale &amp; Huddersfield Foundation Trust</vt:lpwstr>
  </property>
  <property fmtid="{D5CDD505-2E9C-101B-9397-08002B2CF9AE}" pid="4" name="ContentTypeId">
    <vt:lpwstr>0x01010098AD07465DD99344B14F86FC4BA162EF</vt:lpwstr>
  </property>
  <property fmtid="{D5CDD505-2E9C-101B-9397-08002B2CF9AE}" pid="5" name="DocSecurity">
    <vt:i4>0</vt:i4>
  </property>
  <property fmtid="{D5CDD505-2E9C-101B-9397-08002B2CF9AE}" pid="6" name="DocumentEncoding">
    <vt:lpwstr>utf-8</vt:lpwstr>
  </property>
  <property fmtid="{D5CDD505-2E9C-101B-9397-08002B2CF9AE}" pid="7" name="HTML">
    <vt:bool>true</vt:bool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